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8F3" w:rsidRPr="0099697E" w:rsidRDefault="00A848F3" w:rsidP="00A848F3">
      <w:pPr>
        <w:spacing w:line="264" w:lineRule="auto"/>
        <w:contextualSpacing/>
        <w:jc w:val="right"/>
        <w:rPr>
          <w:rFonts w:ascii="Times New Roman" w:eastAsia="Cambria" w:hAnsi="Times New Roman" w:cs="Times New Roman"/>
          <w:b/>
          <w:sz w:val="24"/>
          <w:szCs w:val="24"/>
          <w:lang w:val="ru-RU"/>
        </w:rPr>
      </w:pPr>
      <w:r w:rsidRPr="0099697E">
        <w:rPr>
          <w:rFonts w:ascii="Times New Roman" w:eastAsia="Cambria" w:hAnsi="Times New Roman" w:cs="Times New Roman"/>
          <w:b/>
          <w:sz w:val="24"/>
          <w:szCs w:val="24"/>
          <w:lang w:val="ru-RU"/>
        </w:rPr>
        <w:t>ЗАТВЕРДЖЕНО»</w:t>
      </w:r>
    </w:p>
    <w:p w:rsidR="00A848F3" w:rsidRPr="0099697E" w:rsidRDefault="00A848F3" w:rsidP="00A848F3">
      <w:pPr>
        <w:spacing w:line="264" w:lineRule="auto"/>
        <w:contextualSpacing/>
        <w:jc w:val="right"/>
        <w:rPr>
          <w:rFonts w:ascii="Times New Roman" w:eastAsia="Cambria" w:hAnsi="Times New Roman" w:cs="Times New Roman"/>
          <w:b/>
          <w:bCs/>
          <w:sz w:val="24"/>
          <w:szCs w:val="24"/>
          <w:lang w:val="uk-UA"/>
        </w:rPr>
      </w:pPr>
      <w:r w:rsidRPr="0099697E">
        <w:rPr>
          <w:rFonts w:ascii="Times New Roman" w:eastAsia="Cambria" w:hAnsi="Times New Roman" w:cs="Times New Roman"/>
          <w:b/>
          <w:bCs/>
          <w:sz w:val="24"/>
          <w:szCs w:val="24"/>
        </w:rPr>
        <w:t>Рішенням Генеральної Асамблеї СОГ</w:t>
      </w:r>
    </w:p>
    <w:p w:rsidR="00A848F3" w:rsidRPr="0099697E" w:rsidRDefault="00A848F3" w:rsidP="00A848F3">
      <w:pPr>
        <w:spacing w:line="264" w:lineRule="auto"/>
        <w:contextualSpacing/>
        <w:jc w:val="right"/>
        <w:rPr>
          <w:rFonts w:ascii="Times New Roman" w:eastAsia="Cambria" w:hAnsi="Times New Roman" w:cs="Times New Roman"/>
          <w:b/>
          <w:bCs/>
          <w:sz w:val="24"/>
          <w:szCs w:val="24"/>
        </w:rPr>
      </w:pPr>
      <w:r w:rsidRPr="0099697E">
        <w:rPr>
          <w:rFonts w:ascii="Times New Roman" w:eastAsia="Cambria" w:hAnsi="Times New Roman" w:cs="Times New Roman"/>
          <w:b/>
          <w:bCs/>
          <w:sz w:val="24"/>
          <w:szCs w:val="24"/>
        </w:rPr>
        <w:t xml:space="preserve">«АСОЦІАЦІЯ З УПРАВЛІННЯ АУДІОВІЗУАЛЬНИМИ </w:t>
      </w:r>
    </w:p>
    <w:p w:rsidR="00A848F3" w:rsidRPr="0099697E" w:rsidRDefault="00A848F3" w:rsidP="00A848F3">
      <w:pPr>
        <w:spacing w:line="264" w:lineRule="auto"/>
        <w:contextualSpacing/>
        <w:jc w:val="right"/>
        <w:rPr>
          <w:rFonts w:ascii="Times New Roman" w:eastAsia="Cambria" w:hAnsi="Times New Roman" w:cs="Times New Roman"/>
          <w:b/>
          <w:bCs/>
          <w:sz w:val="24"/>
          <w:szCs w:val="24"/>
          <w:lang w:val="ru-RU"/>
        </w:rPr>
      </w:pPr>
      <w:r w:rsidRPr="0099697E">
        <w:rPr>
          <w:rFonts w:ascii="Times New Roman" w:eastAsia="Cambria" w:hAnsi="Times New Roman" w:cs="Times New Roman"/>
          <w:b/>
          <w:bCs/>
          <w:sz w:val="24"/>
          <w:szCs w:val="24"/>
          <w:lang w:val="ru-RU"/>
        </w:rPr>
        <w:t>ПРАВАМИ «АРМА-УКРАЇНА»</w:t>
      </w:r>
    </w:p>
    <w:p w:rsidR="00A848F3" w:rsidRPr="0099697E" w:rsidRDefault="00A848F3" w:rsidP="00A848F3">
      <w:pPr>
        <w:spacing w:line="264" w:lineRule="auto"/>
        <w:contextualSpacing/>
        <w:jc w:val="right"/>
        <w:rPr>
          <w:rFonts w:ascii="Times New Roman" w:eastAsia="Cambria" w:hAnsi="Times New Roman" w:cs="Times New Roman"/>
          <w:b/>
          <w:sz w:val="24"/>
          <w:szCs w:val="24"/>
          <w:lang w:val="ru-RU"/>
        </w:rPr>
      </w:pPr>
      <w:r w:rsidRPr="0099697E">
        <w:rPr>
          <w:rFonts w:ascii="Times New Roman" w:eastAsia="Cambria" w:hAnsi="Times New Roman" w:cs="Times New Roman"/>
          <w:b/>
          <w:bCs/>
          <w:sz w:val="24"/>
          <w:szCs w:val="24"/>
          <w:lang w:val="ru-RU"/>
        </w:rPr>
        <w:t>від 27 грудня 2018 року</w:t>
      </w:r>
    </w:p>
    <w:p w:rsidR="00A848F3" w:rsidRPr="0099697E" w:rsidRDefault="00A848F3" w:rsidP="00A848F3">
      <w:pPr>
        <w:spacing w:line="264" w:lineRule="auto"/>
        <w:contextualSpacing/>
        <w:jc w:val="right"/>
        <w:rPr>
          <w:rFonts w:ascii="Times New Roman" w:eastAsia="Cambria" w:hAnsi="Times New Roman" w:cs="Times New Roman"/>
          <w:b/>
          <w:sz w:val="24"/>
          <w:szCs w:val="24"/>
          <w:lang w:val="ru-RU"/>
        </w:rPr>
      </w:pPr>
    </w:p>
    <w:p w:rsidR="00A848F3" w:rsidRPr="0099697E" w:rsidRDefault="00A848F3" w:rsidP="00A848F3">
      <w:pPr>
        <w:tabs>
          <w:tab w:val="left" w:pos="653"/>
          <w:tab w:val="right" w:pos="9689"/>
        </w:tabs>
        <w:spacing w:line="264" w:lineRule="auto"/>
        <w:contextualSpacing/>
        <w:jc w:val="right"/>
        <w:rPr>
          <w:rFonts w:ascii="Times New Roman" w:eastAsia="Cambria" w:hAnsi="Times New Roman" w:cs="Times New Roman"/>
          <w:b/>
          <w:sz w:val="24"/>
          <w:szCs w:val="24"/>
          <w:lang w:val="ru-RU"/>
        </w:rPr>
      </w:pPr>
      <w:r w:rsidRPr="0099697E">
        <w:rPr>
          <w:rFonts w:ascii="Times New Roman" w:eastAsia="Cambria" w:hAnsi="Times New Roman" w:cs="Times New Roman"/>
          <w:b/>
          <w:sz w:val="24"/>
          <w:szCs w:val="24"/>
          <w:lang w:val="ru-RU"/>
        </w:rPr>
        <w:tab/>
      </w:r>
      <w:r w:rsidRPr="0099697E">
        <w:rPr>
          <w:rFonts w:ascii="Times New Roman" w:eastAsia="Cambria" w:hAnsi="Times New Roman" w:cs="Times New Roman"/>
          <w:b/>
          <w:sz w:val="24"/>
          <w:szCs w:val="24"/>
          <w:lang w:val="ru-RU"/>
        </w:rPr>
        <w:tab/>
        <w:t>ПРОТОКОЛ №2/2 018</w:t>
      </w:r>
    </w:p>
    <w:p w:rsidR="00EE48CF" w:rsidRPr="00587665" w:rsidRDefault="00EE48CF" w:rsidP="00587665">
      <w:pPr>
        <w:spacing w:before="180" w:after="180"/>
        <w:jc w:val="right"/>
        <w:rPr>
          <w:rFonts w:ascii="Times New Roman" w:eastAsia="Cambria" w:hAnsi="Times New Roman" w:cs="Times New Roman"/>
          <w:lang w:val="ru-RU"/>
        </w:rPr>
      </w:pPr>
    </w:p>
    <w:p w:rsidR="00A848F3" w:rsidRPr="008F5AC8" w:rsidRDefault="008F5AC8" w:rsidP="008F5AC8">
      <w:pPr>
        <w:spacing w:line="264" w:lineRule="auto"/>
        <w:jc w:val="center"/>
        <w:rPr>
          <w:rFonts w:ascii="Times New Roman" w:eastAsia="Cambria" w:hAnsi="Times New Roman" w:cs="Times New Roman"/>
          <w:b/>
          <w:sz w:val="26"/>
          <w:szCs w:val="26"/>
          <w:lang w:val="ru-RU"/>
        </w:rPr>
      </w:pPr>
      <w:r>
        <w:rPr>
          <w:rFonts w:ascii="Times New Roman" w:eastAsia="Cambria" w:hAnsi="Times New Roman" w:cs="Times New Roman"/>
          <w:b/>
          <w:sz w:val="26"/>
          <w:szCs w:val="26"/>
          <w:lang w:val="ru-RU"/>
        </w:rPr>
        <w:t>ПОРЯДОК</w:t>
      </w:r>
    </w:p>
    <w:p w:rsidR="00587665" w:rsidRPr="008F5AC8" w:rsidRDefault="00A848F3" w:rsidP="008F5AC8">
      <w:pPr>
        <w:spacing w:line="264" w:lineRule="auto"/>
        <w:jc w:val="center"/>
        <w:rPr>
          <w:rFonts w:ascii="Times New Roman" w:eastAsia="Cambria" w:hAnsi="Times New Roman" w:cs="Times New Roman"/>
          <w:b/>
          <w:sz w:val="26"/>
          <w:szCs w:val="26"/>
          <w:lang w:val="uk-UA"/>
        </w:rPr>
      </w:pPr>
      <w:r w:rsidRPr="008F5AC8">
        <w:rPr>
          <w:rFonts w:ascii="Times New Roman" w:eastAsia="Cambria" w:hAnsi="Times New Roman" w:cs="Times New Roman"/>
          <w:b/>
          <w:sz w:val="26"/>
          <w:szCs w:val="26"/>
          <w:lang w:val="ru-RU"/>
        </w:rPr>
        <w:t>зд</w:t>
      </w:r>
      <w:r w:rsidRPr="008F5AC8">
        <w:rPr>
          <w:rFonts w:ascii="Times New Roman" w:eastAsia="Cambria" w:hAnsi="Times New Roman" w:cs="Times New Roman"/>
          <w:b/>
          <w:sz w:val="26"/>
          <w:szCs w:val="26"/>
          <w:lang w:val="uk-UA"/>
        </w:rPr>
        <w:t xml:space="preserve">ійснення розподілу доходів від прав та </w:t>
      </w:r>
      <w:r w:rsidR="00A52A50" w:rsidRPr="008F5AC8">
        <w:rPr>
          <w:rFonts w:ascii="Times New Roman" w:eastAsia="Cambria" w:hAnsi="Times New Roman" w:cs="Times New Roman"/>
          <w:b/>
          <w:sz w:val="26"/>
          <w:szCs w:val="26"/>
          <w:lang w:val="ru-RU"/>
        </w:rPr>
        <w:t>утрима</w:t>
      </w:r>
      <w:r w:rsidR="00587665" w:rsidRPr="008F5AC8">
        <w:rPr>
          <w:rFonts w:ascii="Times New Roman" w:eastAsia="Cambria" w:hAnsi="Times New Roman" w:cs="Times New Roman"/>
          <w:b/>
          <w:sz w:val="26"/>
          <w:szCs w:val="26"/>
          <w:lang w:val="ru-RU"/>
        </w:rPr>
        <w:t xml:space="preserve">ння </w:t>
      </w:r>
      <w:r w:rsidR="00A52A50" w:rsidRPr="008F5AC8">
        <w:rPr>
          <w:rFonts w:ascii="Times New Roman" w:eastAsia="Cambria" w:hAnsi="Times New Roman" w:cs="Times New Roman"/>
          <w:b/>
          <w:sz w:val="26"/>
          <w:szCs w:val="26"/>
          <w:lang w:val="ru-RU"/>
        </w:rPr>
        <w:t xml:space="preserve">із сум зібраного доходу збору за управління, а також сум, що можуть бути спрямовані на культурні, соціальні, </w:t>
      </w:r>
      <w:r w:rsidR="00A839CD" w:rsidRPr="008F5AC8">
        <w:rPr>
          <w:rFonts w:ascii="Times New Roman" w:eastAsia="Cambria" w:hAnsi="Times New Roman" w:cs="Times New Roman"/>
          <w:b/>
          <w:sz w:val="26"/>
          <w:szCs w:val="26"/>
          <w:lang w:val="uk-UA"/>
        </w:rPr>
        <w:t xml:space="preserve">освітні </w:t>
      </w:r>
      <w:r w:rsidR="00A52A50" w:rsidRPr="008F5AC8">
        <w:rPr>
          <w:rFonts w:ascii="Times New Roman" w:eastAsia="Cambria" w:hAnsi="Times New Roman" w:cs="Times New Roman"/>
          <w:b/>
          <w:sz w:val="26"/>
          <w:szCs w:val="26"/>
          <w:lang w:val="ru-RU"/>
        </w:rPr>
        <w:t>цілі</w:t>
      </w:r>
      <w:r w:rsidR="00587665" w:rsidRPr="008F5AC8">
        <w:rPr>
          <w:rFonts w:ascii="Times New Roman" w:eastAsia="Cambria" w:hAnsi="Times New Roman" w:cs="Times New Roman"/>
          <w:b/>
          <w:sz w:val="26"/>
          <w:szCs w:val="26"/>
          <w:lang w:val="ru-RU"/>
        </w:rPr>
        <w:t xml:space="preserve"> </w:t>
      </w:r>
      <w:r w:rsidR="00587665" w:rsidRPr="008F5AC8">
        <w:rPr>
          <w:rFonts w:ascii="Times New Roman" w:eastAsia="Cambria" w:hAnsi="Times New Roman" w:cs="Times New Roman"/>
          <w:b/>
          <w:sz w:val="26"/>
          <w:szCs w:val="26"/>
          <w:lang w:val="uk-UA"/>
        </w:rPr>
        <w:t>СОГ «Асоціація управління аудіовізуальними правами «АРМА-УКРАЇНА»</w:t>
      </w:r>
    </w:p>
    <w:p w:rsidR="00A848F3" w:rsidRDefault="00A848F3" w:rsidP="008F5AC8">
      <w:pPr>
        <w:spacing w:line="264" w:lineRule="auto"/>
        <w:jc w:val="center"/>
        <w:rPr>
          <w:rFonts w:ascii="Times New Roman" w:eastAsia="Cambria" w:hAnsi="Times New Roman" w:cs="Times New Roman"/>
          <w:b/>
          <w:sz w:val="26"/>
          <w:szCs w:val="26"/>
          <w:lang w:val="uk-UA"/>
        </w:rPr>
      </w:pPr>
      <w:r w:rsidRPr="008F5AC8">
        <w:rPr>
          <w:rFonts w:ascii="Times New Roman" w:eastAsia="Cambria" w:hAnsi="Times New Roman" w:cs="Times New Roman"/>
          <w:b/>
          <w:sz w:val="26"/>
          <w:szCs w:val="26"/>
          <w:lang w:val="uk-UA"/>
        </w:rPr>
        <w:t>(Асоціації)</w:t>
      </w:r>
    </w:p>
    <w:p w:rsidR="008F5AC8" w:rsidRPr="008F5AC8" w:rsidRDefault="008F5AC8" w:rsidP="008F5AC8">
      <w:pPr>
        <w:spacing w:line="264" w:lineRule="auto"/>
        <w:jc w:val="center"/>
        <w:rPr>
          <w:rFonts w:ascii="Times New Roman" w:eastAsia="Cambria" w:hAnsi="Times New Roman" w:cs="Times New Roman"/>
          <w:b/>
          <w:sz w:val="26"/>
          <w:szCs w:val="26"/>
          <w:lang w:val="uk-UA"/>
        </w:rPr>
      </w:pPr>
    </w:p>
    <w:p w:rsidR="00A848F3" w:rsidRPr="008F5AC8" w:rsidRDefault="00A848F3" w:rsidP="008F5AC8">
      <w:pPr>
        <w:pStyle w:val="a7"/>
        <w:numPr>
          <w:ilvl w:val="1"/>
          <w:numId w:val="1"/>
        </w:numPr>
        <w:spacing w:line="264" w:lineRule="auto"/>
        <w:jc w:val="both"/>
        <w:rPr>
          <w:rFonts w:ascii="Times New Roman" w:hAnsi="Times New Roman" w:cs="Times New Roman"/>
          <w:color w:val="000000"/>
          <w:spacing w:val="-3"/>
          <w:sz w:val="26"/>
          <w:szCs w:val="26"/>
          <w:lang w:val="uk-UA"/>
        </w:rPr>
      </w:pPr>
      <w:r w:rsidRPr="008F5AC8">
        <w:rPr>
          <w:rFonts w:ascii="Times New Roman" w:hAnsi="Times New Roman" w:cs="Times New Roman"/>
          <w:color w:val="000000"/>
          <w:spacing w:val="-3"/>
          <w:sz w:val="26"/>
          <w:szCs w:val="26"/>
          <w:lang w:val="uk-UA"/>
        </w:rPr>
        <w:t>Розподіл доходів від прав в Асоціації здійснюється відповідно до Правил для встановлення тарифів і розподілу винагороди (роялті), затверджених Генеральною Асамблеєю Асоціації 01 лютого 2013 року (із змінами та доповненнями) та з урахуванням положень даного Порядку.</w:t>
      </w:r>
    </w:p>
    <w:p w:rsidR="00A848F3" w:rsidRPr="008F5AC8" w:rsidRDefault="00A848F3" w:rsidP="008F5AC8">
      <w:pPr>
        <w:pStyle w:val="a7"/>
        <w:numPr>
          <w:ilvl w:val="1"/>
          <w:numId w:val="1"/>
        </w:numPr>
        <w:spacing w:line="264" w:lineRule="auto"/>
        <w:jc w:val="both"/>
        <w:rPr>
          <w:rFonts w:ascii="Times New Roman" w:hAnsi="Times New Roman" w:cs="Times New Roman"/>
          <w:color w:val="000000"/>
          <w:spacing w:val="-3"/>
          <w:sz w:val="26"/>
          <w:szCs w:val="26"/>
          <w:lang w:val="uk-UA"/>
        </w:rPr>
      </w:pPr>
      <w:r w:rsidRPr="008F5AC8">
        <w:rPr>
          <w:rFonts w:ascii="Times New Roman" w:hAnsi="Times New Roman" w:cs="Times New Roman"/>
          <w:color w:val="000000"/>
          <w:spacing w:val="-3"/>
          <w:sz w:val="26"/>
          <w:szCs w:val="26"/>
          <w:lang w:val="uk-UA"/>
        </w:rPr>
        <w:t>Розподіл доходів від прав здійснюється на підставі аналізу (обробки) документальних та/або електронних звітів користувачів (в разі їх наявності) або за допомогою проведеного щомісячного моніторингу (фіксації) використання об’єктів авторських і суміжних прав за допомогою спеціального програмного комплексу, що здійснюється Асоціацією самостійно або на її замовлення третіми особами.</w:t>
      </w:r>
      <w:r w:rsidR="00DB5151" w:rsidRPr="008F5AC8">
        <w:rPr>
          <w:rFonts w:ascii="Times New Roman" w:hAnsi="Times New Roman" w:cs="Times New Roman"/>
          <w:color w:val="000000"/>
          <w:spacing w:val="-3"/>
          <w:sz w:val="26"/>
          <w:szCs w:val="26"/>
          <w:lang w:val="uk-UA"/>
        </w:rPr>
        <w:t xml:space="preserve"> Розподіл доходів від прав здійснюється в разі наявності інформації щодо ідентифікації об’єктів авторських і суміжних прав та встановлення їх належності конкретним правовласникам та/або організаціям колективного управління.</w:t>
      </w:r>
    </w:p>
    <w:p w:rsidR="00A848F3" w:rsidRPr="008F5AC8" w:rsidRDefault="001F3EE8" w:rsidP="008F5AC8">
      <w:pPr>
        <w:pStyle w:val="a7"/>
        <w:numPr>
          <w:ilvl w:val="1"/>
          <w:numId w:val="1"/>
        </w:numPr>
        <w:spacing w:line="264" w:lineRule="auto"/>
        <w:jc w:val="both"/>
        <w:rPr>
          <w:rFonts w:ascii="Times New Roman" w:hAnsi="Times New Roman" w:cs="Times New Roman"/>
          <w:color w:val="000000"/>
          <w:spacing w:val="-3"/>
          <w:sz w:val="26"/>
          <w:szCs w:val="26"/>
          <w:lang w:val="uk-UA"/>
        </w:rPr>
      </w:pPr>
      <w:r w:rsidRPr="008F5AC8">
        <w:rPr>
          <w:rFonts w:ascii="Times New Roman" w:hAnsi="Times New Roman" w:cs="Times New Roman"/>
          <w:color w:val="000000"/>
          <w:spacing w:val="-3"/>
          <w:sz w:val="26"/>
          <w:szCs w:val="26"/>
          <w:lang w:val="uk-UA"/>
        </w:rPr>
        <w:t xml:space="preserve">На підставі </w:t>
      </w:r>
      <w:r w:rsidR="00A848F3" w:rsidRPr="008F5AC8">
        <w:rPr>
          <w:rFonts w:ascii="Times New Roman" w:hAnsi="Times New Roman" w:cs="Times New Roman"/>
          <w:color w:val="000000"/>
          <w:spacing w:val="-3"/>
          <w:sz w:val="26"/>
          <w:szCs w:val="26"/>
          <w:lang w:val="uk-UA"/>
        </w:rPr>
        <w:t xml:space="preserve">складених даних щодо використання об’єктів авторських і суміжних прав протягом кожного кварталу </w:t>
      </w:r>
      <w:r w:rsidRPr="008F5AC8">
        <w:rPr>
          <w:rFonts w:ascii="Times New Roman" w:hAnsi="Times New Roman" w:cs="Times New Roman"/>
          <w:color w:val="000000"/>
          <w:spacing w:val="-3"/>
          <w:sz w:val="26"/>
          <w:szCs w:val="26"/>
          <w:lang w:val="uk-UA"/>
        </w:rPr>
        <w:t>(</w:t>
      </w:r>
      <w:r w:rsidR="00A848F3" w:rsidRPr="008F5AC8">
        <w:rPr>
          <w:rFonts w:ascii="Times New Roman" w:hAnsi="Times New Roman" w:cs="Times New Roman"/>
          <w:color w:val="000000"/>
          <w:spacing w:val="-3"/>
          <w:sz w:val="26"/>
          <w:szCs w:val="26"/>
          <w:lang w:val="uk-UA"/>
        </w:rPr>
        <w:t>у поточному році</w:t>
      </w:r>
      <w:r w:rsidRPr="008F5AC8">
        <w:rPr>
          <w:rFonts w:ascii="Times New Roman" w:hAnsi="Times New Roman" w:cs="Times New Roman"/>
          <w:color w:val="000000"/>
          <w:spacing w:val="-3"/>
          <w:sz w:val="26"/>
          <w:szCs w:val="26"/>
          <w:lang w:val="uk-UA"/>
        </w:rPr>
        <w:t>)</w:t>
      </w:r>
      <w:r w:rsidR="00A848F3" w:rsidRPr="008F5AC8">
        <w:rPr>
          <w:rFonts w:ascii="Times New Roman" w:hAnsi="Times New Roman" w:cs="Times New Roman"/>
          <w:color w:val="000000"/>
          <w:spacing w:val="-3"/>
          <w:sz w:val="26"/>
          <w:szCs w:val="26"/>
          <w:lang w:val="uk-UA"/>
        </w:rPr>
        <w:t xml:space="preserve"> виконавчою дирекцією </w:t>
      </w:r>
      <w:r w:rsidRPr="008F5AC8">
        <w:rPr>
          <w:rFonts w:ascii="Times New Roman" w:hAnsi="Times New Roman" w:cs="Times New Roman"/>
          <w:color w:val="000000"/>
          <w:spacing w:val="-3"/>
          <w:sz w:val="26"/>
          <w:szCs w:val="26"/>
          <w:lang w:val="uk-UA"/>
        </w:rPr>
        <w:t xml:space="preserve">Асоціації </w:t>
      </w:r>
      <w:r w:rsidR="00A848F3" w:rsidRPr="008F5AC8">
        <w:rPr>
          <w:rFonts w:ascii="Times New Roman" w:hAnsi="Times New Roman" w:cs="Times New Roman"/>
          <w:color w:val="000000"/>
          <w:spacing w:val="-3"/>
          <w:sz w:val="26"/>
          <w:szCs w:val="26"/>
          <w:lang w:val="uk-UA"/>
        </w:rPr>
        <w:t xml:space="preserve">складається Акт розподілу винагороди, </w:t>
      </w:r>
      <w:r w:rsidRPr="008F5AC8">
        <w:rPr>
          <w:rFonts w:ascii="Times New Roman" w:hAnsi="Times New Roman" w:cs="Times New Roman"/>
          <w:color w:val="000000"/>
          <w:spacing w:val="-3"/>
          <w:sz w:val="26"/>
          <w:szCs w:val="26"/>
          <w:lang w:val="uk-UA"/>
        </w:rPr>
        <w:t xml:space="preserve">в якому визначаються коефіцієнти співвідношення використання прав до отриманої суми винагороди та конкретна сума коштів, яка підлягає виплаті на користь окремих правовласників та інших організацій колективного управління щодо яких проведено ідентифікацію використаних об’єктів авторських і суміжних прав на момент відповідної виплати. Дані Акти розподілу винагороди є підставою для формування відповідних розділів Щорічного звіту Асоціації, перевіряються Головою Правління Асоціації та підтверджуються Генеральною Асамблеєю під час розгляду та затвердження Щорічного звіту за відповідний рік. </w:t>
      </w:r>
    </w:p>
    <w:p w:rsidR="00DB5151" w:rsidRPr="008F5AC8" w:rsidRDefault="001F3EE8" w:rsidP="008F5AC8">
      <w:pPr>
        <w:pStyle w:val="a7"/>
        <w:numPr>
          <w:ilvl w:val="1"/>
          <w:numId w:val="1"/>
        </w:numPr>
        <w:spacing w:line="264" w:lineRule="auto"/>
        <w:jc w:val="both"/>
        <w:rPr>
          <w:rFonts w:ascii="Times New Roman" w:hAnsi="Times New Roman" w:cs="Times New Roman"/>
          <w:color w:val="000000"/>
          <w:spacing w:val="-3"/>
          <w:sz w:val="26"/>
          <w:szCs w:val="26"/>
          <w:lang w:val="uk-UA"/>
        </w:rPr>
      </w:pPr>
      <w:r w:rsidRPr="008F5AC8">
        <w:rPr>
          <w:rFonts w:ascii="Times New Roman" w:hAnsi="Times New Roman" w:cs="Times New Roman"/>
          <w:color w:val="000000"/>
          <w:spacing w:val="-3"/>
          <w:sz w:val="26"/>
          <w:szCs w:val="26"/>
          <w:lang w:val="uk-UA"/>
        </w:rPr>
        <w:t>В разі, якщо на момент виплати винагороди правовласникам та організаціям колективного управління не повністю проведено ідентифікацію використаних об’єктів авторських і суміжних прав, то залишок коштів, отриманих у вигляді доходів від прав</w:t>
      </w:r>
      <w:r w:rsidR="00DB5151" w:rsidRPr="008F5AC8">
        <w:rPr>
          <w:rFonts w:ascii="Times New Roman" w:hAnsi="Times New Roman" w:cs="Times New Roman"/>
          <w:color w:val="000000"/>
          <w:spacing w:val="-3"/>
          <w:sz w:val="26"/>
          <w:szCs w:val="26"/>
          <w:lang w:val="uk-UA"/>
        </w:rPr>
        <w:t xml:space="preserve"> протягом поточного року</w:t>
      </w:r>
      <w:r w:rsidRPr="008F5AC8">
        <w:rPr>
          <w:rFonts w:ascii="Times New Roman" w:hAnsi="Times New Roman" w:cs="Times New Roman"/>
          <w:color w:val="000000"/>
          <w:spacing w:val="-3"/>
          <w:sz w:val="26"/>
          <w:szCs w:val="26"/>
          <w:lang w:val="uk-UA"/>
        </w:rPr>
        <w:t>, віднос</w:t>
      </w:r>
      <w:r w:rsidR="00DB5151" w:rsidRPr="008F5AC8">
        <w:rPr>
          <w:rFonts w:ascii="Times New Roman" w:hAnsi="Times New Roman" w:cs="Times New Roman"/>
          <w:color w:val="000000"/>
          <w:spacing w:val="-3"/>
          <w:sz w:val="26"/>
          <w:szCs w:val="26"/>
          <w:lang w:val="uk-UA"/>
        </w:rPr>
        <w:t>и</w:t>
      </w:r>
      <w:r w:rsidRPr="008F5AC8">
        <w:rPr>
          <w:rFonts w:ascii="Times New Roman" w:hAnsi="Times New Roman" w:cs="Times New Roman"/>
          <w:color w:val="000000"/>
          <w:spacing w:val="-3"/>
          <w:sz w:val="26"/>
          <w:szCs w:val="26"/>
          <w:lang w:val="uk-UA"/>
        </w:rPr>
        <w:t xml:space="preserve">ться до категорії нерозподілених та/або </w:t>
      </w:r>
      <w:r w:rsidRPr="008F5AC8">
        <w:rPr>
          <w:rFonts w:ascii="Times New Roman" w:hAnsi="Times New Roman" w:cs="Times New Roman"/>
          <w:color w:val="000000"/>
          <w:spacing w:val="-3"/>
          <w:sz w:val="26"/>
          <w:szCs w:val="26"/>
          <w:lang w:val="uk-UA"/>
        </w:rPr>
        <w:lastRenderedPageBreak/>
        <w:t xml:space="preserve">незапитаних коштів, про що виконавчою дирекцією </w:t>
      </w:r>
      <w:r w:rsidR="00DB5151" w:rsidRPr="008F5AC8">
        <w:rPr>
          <w:rFonts w:ascii="Times New Roman" w:hAnsi="Times New Roman" w:cs="Times New Roman"/>
          <w:color w:val="000000"/>
          <w:spacing w:val="-3"/>
          <w:sz w:val="26"/>
          <w:szCs w:val="26"/>
          <w:lang w:val="uk-UA"/>
        </w:rPr>
        <w:t>А</w:t>
      </w:r>
      <w:r w:rsidRPr="008F5AC8">
        <w:rPr>
          <w:rFonts w:ascii="Times New Roman" w:hAnsi="Times New Roman" w:cs="Times New Roman"/>
          <w:color w:val="000000"/>
          <w:spacing w:val="-3"/>
          <w:sz w:val="26"/>
          <w:szCs w:val="26"/>
          <w:lang w:val="uk-UA"/>
        </w:rPr>
        <w:t xml:space="preserve">соціації складається </w:t>
      </w:r>
      <w:r w:rsidR="00DB5151" w:rsidRPr="008F5AC8">
        <w:rPr>
          <w:rFonts w:ascii="Times New Roman" w:hAnsi="Times New Roman" w:cs="Times New Roman"/>
          <w:color w:val="000000"/>
          <w:spacing w:val="-3"/>
          <w:sz w:val="26"/>
          <w:szCs w:val="26"/>
          <w:lang w:val="uk-UA"/>
        </w:rPr>
        <w:t>відповідний</w:t>
      </w:r>
      <w:r w:rsidRPr="008F5AC8">
        <w:rPr>
          <w:rFonts w:ascii="Times New Roman" w:hAnsi="Times New Roman" w:cs="Times New Roman"/>
          <w:color w:val="000000"/>
          <w:spacing w:val="-3"/>
          <w:sz w:val="26"/>
          <w:szCs w:val="26"/>
          <w:lang w:val="uk-UA"/>
        </w:rPr>
        <w:t xml:space="preserve"> Акт</w:t>
      </w:r>
      <w:r w:rsidR="00DB5151" w:rsidRPr="008F5AC8">
        <w:rPr>
          <w:rFonts w:ascii="Times New Roman" w:hAnsi="Times New Roman" w:cs="Times New Roman"/>
          <w:color w:val="000000"/>
          <w:spacing w:val="-3"/>
          <w:sz w:val="26"/>
          <w:szCs w:val="26"/>
          <w:lang w:val="uk-UA"/>
        </w:rPr>
        <w:t xml:space="preserve"> визначення нерозподілених та/або незапитаних коштів. Даний Акт є підставою для формування відповідних розділів Щорічного звіту Асоціації, перевіряється Головою Правління Асоціації та підтверджуються Генеральною Асамблеєю під час розгляду та затвердження Щорічного звіту за відповідний рік. </w:t>
      </w:r>
    </w:p>
    <w:p w:rsidR="00367AAD" w:rsidRPr="008F5AC8" w:rsidRDefault="00367AAD" w:rsidP="008F5AC8">
      <w:pPr>
        <w:pStyle w:val="a7"/>
        <w:numPr>
          <w:ilvl w:val="1"/>
          <w:numId w:val="1"/>
        </w:numPr>
        <w:spacing w:line="264" w:lineRule="auto"/>
        <w:jc w:val="both"/>
        <w:rPr>
          <w:rFonts w:ascii="Times New Roman" w:hAnsi="Times New Roman" w:cs="Times New Roman"/>
          <w:color w:val="000000"/>
          <w:spacing w:val="-3"/>
          <w:sz w:val="26"/>
          <w:szCs w:val="26"/>
          <w:lang w:val="uk-UA"/>
        </w:rPr>
      </w:pPr>
      <w:r w:rsidRPr="008F5AC8">
        <w:rPr>
          <w:rFonts w:ascii="Times New Roman" w:hAnsi="Times New Roman" w:cs="Times New Roman"/>
          <w:color w:val="000000"/>
          <w:spacing w:val="-3"/>
          <w:sz w:val="26"/>
          <w:szCs w:val="26"/>
          <w:lang w:val="uk-UA"/>
        </w:rPr>
        <w:t xml:space="preserve">Збір за управління утримується </w:t>
      </w:r>
      <w:r w:rsidR="00316BD9" w:rsidRPr="008F5AC8">
        <w:rPr>
          <w:rFonts w:ascii="Times New Roman" w:hAnsi="Times New Roman" w:cs="Times New Roman"/>
          <w:color w:val="000000"/>
          <w:spacing w:val="-3"/>
          <w:sz w:val="26"/>
          <w:szCs w:val="26"/>
          <w:lang w:val="uk-UA"/>
        </w:rPr>
        <w:t>Асоціацією</w:t>
      </w:r>
      <w:r w:rsidRPr="008F5AC8">
        <w:rPr>
          <w:rFonts w:ascii="Times New Roman" w:hAnsi="Times New Roman" w:cs="Times New Roman"/>
          <w:color w:val="000000"/>
          <w:spacing w:val="-3"/>
          <w:sz w:val="26"/>
          <w:szCs w:val="26"/>
          <w:lang w:val="uk-UA"/>
        </w:rPr>
        <w:t xml:space="preserve"> з доходу від прав самостійно в момент надходження доходу від прав до </w:t>
      </w:r>
      <w:r w:rsidR="00316BD9" w:rsidRPr="008F5AC8">
        <w:rPr>
          <w:rFonts w:ascii="Times New Roman" w:hAnsi="Times New Roman" w:cs="Times New Roman"/>
          <w:color w:val="000000"/>
          <w:spacing w:val="-3"/>
          <w:sz w:val="26"/>
          <w:szCs w:val="26"/>
          <w:lang w:val="uk-UA"/>
        </w:rPr>
        <w:t>Асоціації</w:t>
      </w:r>
      <w:r w:rsidRPr="008F5AC8">
        <w:rPr>
          <w:rFonts w:ascii="Times New Roman" w:hAnsi="Times New Roman" w:cs="Times New Roman"/>
          <w:color w:val="000000"/>
          <w:spacing w:val="-3"/>
          <w:sz w:val="26"/>
          <w:szCs w:val="26"/>
          <w:lang w:val="uk-UA"/>
        </w:rPr>
        <w:t>.</w:t>
      </w:r>
    </w:p>
    <w:p w:rsidR="00DB5151" w:rsidRPr="008F5AC8" w:rsidRDefault="00367AAD" w:rsidP="008F5AC8">
      <w:pPr>
        <w:pStyle w:val="a7"/>
        <w:numPr>
          <w:ilvl w:val="1"/>
          <w:numId w:val="1"/>
        </w:numPr>
        <w:spacing w:line="264" w:lineRule="auto"/>
        <w:jc w:val="both"/>
        <w:rPr>
          <w:rFonts w:ascii="Times New Roman" w:hAnsi="Times New Roman" w:cs="Times New Roman"/>
          <w:color w:val="000000"/>
          <w:spacing w:val="-3"/>
          <w:sz w:val="26"/>
          <w:szCs w:val="26"/>
          <w:lang w:val="uk-UA"/>
        </w:rPr>
      </w:pPr>
      <w:r w:rsidRPr="008F5AC8">
        <w:rPr>
          <w:rFonts w:ascii="Times New Roman" w:hAnsi="Times New Roman" w:cs="Times New Roman"/>
          <w:sz w:val="26"/>
          <w:szCs w:val="26"/>
          <w:lang w:val="uk-UA"/>
        </w:rPr>
        <w:t xml:space="preserve">Розмір збору та управління визначається </w:t>
      </w:r>
      <w:r w:rsidR="00DB5151" w:rsidRPr="008F5AC8">
        <w:rPr>
          <w:rFonts w:ascii="Times New Roman" w:hAnsi="Times New Roman" w:cs="Times New Roman"/>
          <w:sz w:val="26"/>
          <w:szCs w:val="26"/>
          <w:lang w:val="uk-UA"/>
        </w:rPr>
        <w:t xml:space="preserve">Генеральною Асамблеєю </w:t>
      </w:r>
      <w:r w:rsidR="00316BD9" w:rsidRPr="008F5AC8">
        <w:rPr>
          <w:rFonts w:ascii="Times New Roman" w:hAnsi="Times New Roman" w:cs="Times New Roman"/>
          <w:sz w:val="26"/>
          <w:szCs w:val="26"/>
          <w:lang w:val="uk-UA"/>
        </w:rPr>
        <w:t>Асоціації</w:t>
      </w:r>
      <w:r w:rsidRPr="008F5AC8">
        <w:rPr>
          <w:rFonts w:ascii="Times New Roman" w:hAnsi="Times New Roman" w:cs="Times New Roman"/>
          <w:sz w:val="26"/>
          <w:szCs w:val="26"/>
          <w:lang w:val="uk-UA"/>
        </w:rPr>
        <w:t xml:space="preserve"> </w:t>
      </w:r>
      <w:r w:rsidR="00DB5151" w:rsidRPr="008F5AC8">
        <w:rPr>
          <w:rFonts w:ascii="Times New Roman" w:hAnsi="Times New Roman" w:cs="Times New Roman"/>
          <w:sz w:val="26"/>
          <w:szCs w:val="26"/>
          <w:lang w:val="uk-UA"/>
        </w:rPr>
        <w:t xml:space="preserve">на своїх засіданнях на кожен поточний рік окремо </w:t>
      </w:r>
      <w:r w:rsidRPr="008F5AC8">
        <w:rPr>
          <w:rFonts w:ascii="Times New Roman" w:hAnsi="Times New Roman" w:cs="Times New Roman"/>
          <w:sz w:val="26"/>
          <w:szCs w:val="26"/>
          <w:lang w:val="uk-UA"/>
        </w:rPr>
        <w:t xml:space="preserve">в порядку, встановленому Статутом </w:t>
      </w:r>
      <w:r w:rsidR="00316BD9" w:rsidRPr="008F5AC8">
        <w:rPr>
          <w:rFonts w:ascii="Times New Roman" w:hAnsi="Times New Roman" w:cs="Times New Roman"/>
          <w:sz w:val="26"/>
          <w:szCs w:val="26"/>
          <w:lang w:val="uk-UA"/>
        </w:rPr>
        <w:t>Асоціації</w:t>
      </w:r>
      <w:r w:rsidRPr="008F5AC8">
        <w:rPr>
          <w:rFonts w:ascii="Times New Roman" w:hAnsi="Times New Roman" w:cs="Times New Roman"/>
          <w:sz w:val="26"/>
          <w:szCs w:val="26"/>
          <w:lang w:val="uk-UA"/>
        </w:rPr>
        <w:t xml:space="preserve">, </w:t>
      </w:r>
      <w:r w:rsidR="00DB5151" w:rsidRPr="008F5AC8">
        <w:rPr>
          <w:rFonts w:ascii="Times New Roman" w:hAnsi="Times New Roman" w:cs="Times New Roman"/>
          <w:sz w:val="26"/>
          <w:szCs w:val="26"/>
          <w:lang w:val="uk-UA"/>
        </w:rPr>
        <w:t xml:space="preserve">з урахуванням положень </w:t>
      </w:r>
      <w:r w:rsidR="00DB5151" w:rsidRPr="008F5AC8">
        <w:rPr>
          <w:rFonts w:ascii="Times New Roman" w:hAnsi="Times New Roman" w:cs="Times New Roman"/>
          <w:color w:val="000000"/>
          <w:spacing w:val="-3"/>
          <w:sz w:val="26"/>
          <w:szCs w:val="26"/>
          <w:lang w:val="uk-UA"/>
        </w:rPr>
        <w:t>Правил для встановлення тарифів і розподілу винагороди (роялті), затверджених Генеральною Асамблеєю Асоціації 01 лютого 2013 року (із змінами та доповненнями) та даного Порядку.</w:t>
      </w:r>
    </w:p>
    <w:p w:rsidR="00CA6523" w:rsidRPr="008F5AC8" w:rsidRDefault="00DB5151" w:rsidP="008F5AC8">
      <w:pPr>
        <w:pStyle w:val="a7"/>
        <w:numPr>
          <w:ilvl w:val="1"/>
          <w:numId w:val="1"/>
        </w:numPr>
        <w:spacing w:line="264" w:lineRule="auto"/>
        <w:jc w:val="both"/>
        <w:rPr>
          <w:rFonts w:ascii="Times New Roman" w:hAnsi="Times New Roman" w:cs="Times New Roman"/>
          <w:sz w:val="26"/>
          <w:szCs w:val="26"/>
          <w:lang w:val="uk-UA"/>
        </w:rPr>
      </w:pPr>
      <w:r w:rsidRPr="008F5AC8">
        <w:rPr>
          <w:rFonts w:ascii="Times New Roman" w:hAnsi="Times New Roman" w:cs="Times New Roman"/>
          <w:sz w:val="26"/>
          <w:szCs w:val="26"/>
          <w:lang w:val="uk-UA"/>
        </w:rPr>
        <w:t xml:space="preserve">Загальний розмір </w:t>
      </w:r>
      <w:r w:rsidR="00CA6523" w:rsidRPr="008F5AC8">
        <w:rPr>
          <w:rFonts w:ascii="Times New Roman" w:hAnsi="Times New Roman" w:cs="Times New Roman"/>
          <w:sz w:val="26"/>
          <w:szCs w:val="26"/>
          <w:lang w:val="uk-UA"/>
        </w:rPr>
        <w:t xml:space="preserve">всіх </w:t>
      </w:r>
      <w:r w:rsidRPr="008F5AC8">
        <w:rPr>
          <w:rFonts w:ascii="Times New Roman" w:hAnsi="Times New Roman" w:cs="Times New Roman"/>
          <w:sz w:val="26"/>
          <w:szCs w:val="26"/>
          <w:lang w:val="uk-UA"/>
        </w:rPr>
        <w:t xml:space="preserve">утримань </w:t>
      </w:r>
      <w:r w:rsidR="00CA6523" w:rsidRPr="008F5AC8">
        <w:rPr>
          <w:rFonts w:ascii="Times New Roman" w:hAnsi="Times New Roman" w:cs="Times New Roman"/>
          <w:sz w:val="26"/>
          <w:szCs w:val="26"/>
          <w:lang w:val="uk-UA"/>
        </w:rPr>
        <w:t xml:space="preserve">Асоціації </w:t>
      </w:r>
      <w:r w:rsidRPr="008F5AC8">
        <w:rPr>
          <w:rFonts w:ascii="Times New Roman" w:hAnsi="Times New Roman" w:cs="Times New Roman"/>
          <w:sz w:val="26"/>
          <w:szCs w:val="26"/>
          <w:lang w:val="uk-UA"/>
        </w:rPr>
        <w:t xml:space="preserve">з доходів від прав </w:t>
      </w:r>
      <w:r w:rsidR="00CA6523" w:rsidRPr="008F5AC8">
        <w:rPr>
          <w:rFonts w:ascii="Times New Roman" w:hAnsi="Times New Roman" w:cs="Times New Roman"/>
          <w:sz w:val="26"/>
          <w:szCs w:val="26"/>
          <w:lang w:val="uk-UA"/>
        </w:rPr>
        <w:t>складає не більше 40% суми, зібраної на користь правовласників та/або організацій колективного управління, з урахуванням наступного:</w:t>
      </w:r>
    </w:p>
    <w:p w:rsidR="00CA6523" w:rsidRPr="008F5AC8" w:rsidRDefault="00CA6523" w:rsidP="008F5AC8">
      <w:pPr>
        <w:pStyle w:val="a7"/>
        <w:numPr>
          <w:ilvl w:val="0"/>
          <w:numId w:val="2"/>
        </w:numPr>
        <w:spacing w:line="264" w:lineRule="auto"/>
        <w:jc w:val="both"/>
        <w:rPr>
          <w:rFonts w:ascii="Times New Roman" w:hAnsi="Times New Roman" w:cs="Times New Roman"/>
          <w:sz w:val="26"/>
          <w:szCs w:val="26"/>
          <w:lang w:val="uk-UA"/>
        </w:rPr>
      </w:pPr>
      <w:r w:rsidRPr="008F5AC8">
        <w:rPr>
          <w:rFonts w:ascii="Times New Roman" w:hAnsi="Times New Roman" w:cs="Times New Roman"/>
          <w:sz w:val="26"/>
          <w:szCs w:val="26"/>
          <w:lang w:val="uk-UA"/>
        </w:rPr>
        <w:t xml:space="preserve">розмір утримань Асоціації </w:t>
      </w:r>
      <w:r w:rsidR="00367AAD" w:rsidRPr="008F5AC8">
        <w:rPr>
          <w:rFonts w:ascii="Times New Roman" w:hAnsi="Times New Roman" w:cs="Times New Roman"/>
          <w:sz w:val="26"/>
          <w:szCs w:val="26"/>
          <w:lang w:val="uk-UA"/>
        </w:rPr>
        <w:t>не може перевищувати 20 відсотків суми, зібраної на користь правовласника у разі якщо зібрана частка доходів від прав підлягає виплаті безпосередньо правовласник</w:t>
      </w:r>
      <w:r w:rsidRPr="008F5AC8">
        <w:rPr>
          <w:rFonts w:ascii="Times New Roman" w:hAnsi="Times New Roman" w:cs="Times New Roman"/>
          <w:sz w:val="26"/>
          <w:szCs w:val="26"/>
          <w:lang w:val="uk-UA"/>
        </w:rPr>
        <w:t>ам;</w:t>
      </w:r>
    </w:p>
    <w:p w:rsidR="00367AAD" w:rsidRPr="008F5AC8" w:rsidRDefault="00CA6523" w:rsidP="008F5AC8">
      <w:pPr>
        <w:pStyle w:val="a7"/>
        <w:numPr>
          <w:ilvl w:val="0"/>
          <w:numId w:val="2"/>
        </w:numPr>
        <w:spacing w:line="264" w:lineRule="auto"/>
        <w:jc w:val="both"/>
        <w:rPr>
          <w:rFonts w:ascii="Times New Roman" w:hAnsi="Times New Roman" w:cs="Times New Roman"/>
          <w:sz w:val="26"/>
          <w:szCs w:val="26"/>
          <w:lang w:val="uk-UA"/>
        </w:rPr>
      </w:pPr>
      <w:r w:rsidRPr="008F5AC8">
        <w:rPr>
          <w:rFonts w:ascii="Times New Roman" w:hAnsi="Times New Roman" w:cs="Times New Roman"/>
          <w:sz w:val="26"/>
          <w:szCs w:val="26"/>
          <w:lang w:val="uk-UA"/>
        </w:rPr>
        <w:t xml:space="preserve">розмір утримань Асоціації не може </w:t>
      </w:r>
      <w:r w:rsidR="00367AAD" w:rsidRPr="008F5AC8">
        <w:rPr>
          <w:rFonts w:ascii="Times New Roman" w:hAnsi="Times New Roman" w:cs="Times New Roman"/>
          <w:sz w:val="26"/>
          <w:szCs w:val="26"/>
          <w:lang w:val="uk-UA"/>
        </w:rPr>
        <w:t xml:space="preserve">перевищувати 25 відсотків суми, зібраної на користь </w:t>
      </w:r>
      <w:r w:rsidR="002759DE" w:rsidRPr="008F5AC8">
        <w:rPr>
          <w:rFonts w:ascii="Times New Roman" w:hAnsi="Times New Roman" w:cs="Times New Roman"/>
          <w:sz w:val="26"/>
          <w:szCs w:val="26"/>
          <w:lang w:val="uk-UA"/>
        </w:rPr>
        <w:t>правовласника у разі якщо розподілена частка доходів від прав виплачується організації колективного управління на підставі укладе</w:t>
      </w:r>
      <w:r w:rsidRPr="008F5AC8">
        <w:rPr>
          <w:rFonts w:ascii="Times New Roman" w:hAnsi="Times New Roman" w:cs="Times New Roman"/>
          <w:sz w:val="26"/>
          <w:szCs w:val="26"/>
          <w:lang w:val="uk-UA"/>
        </w:rPr>
        <w:t>ного між організаціями договору;</w:t>
      </w:r>
    </w:p>
    <w:p w:rsidR="00CA6523" w:rsidRPr="008F5AC8" w:rsidRDefault="00CA6523" w:rsidP="008F5AC8">
      <w:pPr>
        <w:pStyle w:val="a7"/>
        <w:numPr>
          <w:ilvl w:val="0"/>
          <w:numId w:val="2"/>
        </w:numPr>
        <w:spacing w:line="264" w:lineRule="auto"/>
        <w:jc w:val="both"/>
        <w:rPr>
          <w:rFonts w:ascii="Times New Roman" w:hAnsi="Times New Roman" w:cs="Times New Roman"/>
          <w:sz w:val="26"/>
          <w:szCs w:val="26"/>
          <w:lang w:val="uk-UA"/>
        </w:rPr>
      </w:pPr>
      <w:r w:rsidRPr="008F5AC8">
        <w:rPr>
          <w:rFonts w:ascii="Times New Roman" w:hAnsi="Times New Roman" w:cs="Times New Roman"/>
          <w:sz w:val="26"/>
          <w:szCs w:val="26"/>
          <w:lang w:val="uk-UA"/>
        </w:rPr>
        <w:t xml:space="preserve">15 відсотків суми зібраного Асоціацією доходів від прав спрямовується на культурні, соціальні, освітні цілі та проведення інформаційних заходів з метою </w:t>
      </w:r>
      <w:r w:rsidRPr="008F5AC8">
        <w:rPr>
          <w:rFonts w:ascii="Times New Roman" w:hAnsi="Times New Roman" w:cs="Times New Roman"/>
          <w:sz w:val="26"/>
          <w:szCs w:val="26"/>
          <w:shd w:val="clear" w:color="auto" w:fill="FFFFFF"/>
          <w:lang w:val="uk-UA"/>
        </w:rPr>
        <w:t>підвищення обізнаності та поваги до інтелектуальної власності, необхідності її захисту тощо.</w:t>
      </w:r>
    </w:p>
    <w:p w:rsidR="002759DE" w:rsidRPr="008F5AC8" w:rsidRDefault="00CA6523" w:rsidP="008F5AC8">
      <w:pPr>
        <w:pStyle w:val="a7"/>
        <w:numPr>
          <w:ilvl w:val="1"/>
          <w:numId w:val="1"/>
        </w:numPr>
        <w:spacing w:line="264" w:lineRule="auto"/>
        <w:jc w:val="both"/>
        <w:rPr>
          <w:rFonts w:ascii="Times New Roman" w:hAnsi="Times New Roman" w:cs="Times New Roman"/>
          <w:sz w:val="26"/>
          <w:szCs w:val="26"/>
          <w:lang w:val="uk-UA"/>
        </w:rPr>
      </w:pPr>
      <w:r w:rsidRPr="008F5AC8">
        <w:rPr>
          <w:rFonts w:ascii="Times New Roman" w:hAnsi="Times New Roman" w:cs="Times New Roman"/>
          <w:sz w:val="26"/>
          <w:szCs w:val="26"/>
          <w:lang w:val="uk-UA"/>
        </w:rPr>
        <w:t>Якщо окремими договорами із правовласниками передбачені більші розміри відрахувань з доходу від прав на утримання Асоціації, то такі розміри застосовуються виключно до таких договорів та в межах сум, які визначені для виплати таким правовласникам відповідно до Актів розподілу винагороди.</w:t>
      </w:r>
    </w:p>
    <w:p w:rsidR="002759DE" w:rsidRPr="008F5AC8" w:rsidRDefault="002759DE" w:rsidP="008F5AC8">
      <w:pPr>
        <w:pStyle w:val="a7"/>
        <w:numPr>
          <w:ilvl w:val="1"/>
          <w:numId w:val="1"/>
        </w:numPr>
        <w:spacing w:line="264" w:lineRule="auto"/>
        <w:jc w:val="both"/>
        <w:rPr>
          <w:rFonts w:ascii="Times New Roman" w:hAnsi="Times New Roman" w:cs="Times New Roman"/>
          <w:sz w:val="26"/>
          <w:szCs w:val="26"/>
          <w:lang w:val="uk-UA"/>
        </w:rPr>
      </w:pPr>
      <w:r w:rsidRPr="008F5AC8">
        <w:rPr>
          <w:rFonts w:ascii="Times New Roman" w:hAnsi="Times New Roman" w:cs="Times New Roman"/>
          <w:sz w:val="26"/>
          <w:szCs w:val="26"/>
          <w:lang w:val="uk-UA"/>
        </w:rPr>
        <w:t xml:space="preserve">Суми, що можуть бути спрямовані на культурні, соціальні, </w:t>
      </w:r>
      <w:r w:rsidR="008F5AC8" w:rsidRPr="008F5AC8">
        <w:rPr>
          <w:rFonts w:ascii="Times New Roman" w:hAnsi="Times New Roman" w:cs="Times New Roman"/>
          <w:sz w:val="26"/>
          <w:szCs w:val="26"/>
          <w:lang w:val="uk-UA"/>
        </w:rPr>
        <w:t>освітні</w:t>
      </w:r>
      <w:r w:rsidRPr="008F5AC8">
        <w:rPr>
          <w:rFonts w:ascii="Times New Roman" w:hAnsi="Times New Roman" w:cs="Times New Roman"/>
          <w:sz w:val="26"/>
          <w:szCs w:val="26"/>
          <w:lang w:val="uk-UA"/>
        </w:rPr>
        <w:t xml:space="preserve"> цілі, спрямовуються на формування спеціальних фондів </w:t>
      </w:r>
      <w:r w:rsidR="00316BD9" w:rsidRPr="008F5AC8">
        <w:rPr>
          <w:rFonts w:ascii="Times New Roman" w:hAnsi="Times New Roman" w:cs="Times New Roman"/>
          <w:sz w:val="26"/>
          <w:szCs w:val="26"/>
          <w:lang w:val="uk-UA"/>
        </w:rPr>
        <w:t>Асоціації</w:t>
      </w:r>
      <w:r w:rsidRPr="008F5AC8">
        <w:rPr>
          <w:rFonts w:ascii="Times New Roman" w:hAnsi="Times New Roman" w:cs="Times New Roman"/>
          <w:sz w:val="26"/>
          <w:szCs w:val="26"/>
          <w:lang w:val="uk-UA"/>
        </w:rPr>
        <w:t xml:space="preserve"> для надання соціальних, культурних, освітніх послуг своїм членам та іншим правовласникам або в інтересах творчої громадськості (здійснення інформаційно-просвітницьких заходів з метою підвищення обізнаності та поваги до інтелектуальної власності, необхідності її захисту тощо).</w:t>
      </w:r>
    </w:p>
    <w:p w:rsidR="002759DE" w:rsidRPr="008F5AC8" w:rsidRDefault="008F5AC8" w:rsidP="008F5AC8">
      <w:pPr>
        <w:pStyle w:val="a7"/>
        <w:numPr>
          <w:ilvl w:val="1"/>
          <w:numId w:val="1"/>
        </w:numPr>
        <w:spacing w:line="264" w:lineRule="auto"/>
        <w:jc w:val="both"/>
        <w:rPr>
          <w:rFonts w:ascii="Times New Roman" w:hAnsi="Times New Roman" w:cs="Times New Roman"/>
          <w:sz w:val="26"/>
          <w:szCs w:val="26"/>
          <w:lang w:val="uk-UA"/>
        </w:rPr>
      </w:pPr>
      <w:r w:rsidRPr="008F5AC8">
        <w:rPr>
          <w:rFonts w:ascii="Times New Roman" w:hAnsi="Times New Roman" w:cs="Times New Roman"/>
          <w:sz w:val="26"/>
          <w:szCs w:val="26"/>
          <w:lang w:val="uk-UA"/>
        </w:rPr>
        <w:t xml:space="preserve">Генеральна Асамблея Асоціації </w:t>
      </w:r>
      <w:r w:rsidR="002759DE" w:rsidRPr="008F5AC8">
        <w:rPr>
          <w:rFonts w:ascii="Times New Roman" w:hAnsi="Times New Roman" w:cs="Times New Roman"/>
          <w:sz w:val="26"/>
          <w:szCs w:val="26"/>
          <w:lang w:val="uk-UA"/>
        </w:rPr>
        <w:t xml:space="preserve">своїм рішенням </w:t>
      </w:r>
      <w:r w:rsidRPr="008F5AC8">
        <w:rPr>
          <w:rFonts w:ascii="Times New Roman" w:hAnsi="Times New Roman" w:cs="Times New Roman"/>
          <w:sz w:val="26"/>
          <w:szCs w:val="26"/>
          <w:lang w:val="uk-UA"/>
        </w:rPr>
        <w:t xml:space="preserve">на кожен поточний рік </w:t>
      </w:r>
      <w:r w:rsidR="002759DE" w:rsidRPr="008F5AC8">
        <w:rPr>
          <w:rFonts w:ascii="Times New Roman" w:hAnsi="Times New Roman" w:cs="Times New Roman"/>
          <w:sz w:val="26"/>
          <w:szCs w:val="26"/>
          <w:lang w:val="uk-UA"/>
        </w:rPr>
        <w:t xml:space="preserve">визначає конкретний </w:t>
      </w:r>
      <w:r w:rsidRPr="008F5AC8">
        <w:rPr>
          <w:rFonts w:ascii="Times New Roman" w:hAnsi="Times New Roman" w:cs="Times New Roman"/>
          <w:sz w:val="26"/>
          <w:szCs w:val="26"/>
          <w:lang w:val="uk-UA"/>
        </w:rPr>
        <w:t xml:space="preserve">розмір та </w:t>
      </w:r>
      <w:r w:rsidR="002759DE" w:rsidRPr="008F5AC8">
        <w:rPr>
          <w:rFonts w:ascii="Times New Roman" w:hAnsi="Times New Roman" w:cs="Times New Roman"/>
          <w:sz w:val="26"/>
          <w:szCs w:val="26"/>
          <w:lang w:val="uk-UA"/>
        </w:rPr>
        <w:t>напрям цілей для фінансування</w:t>
      </w:r>
      <w:r w:rsidRPr="008F5AC8">
        <w:rPr>
          <w:rFonts w:ascii="Times New Roman" w:hAnsi="Times New Roman" w:cs="Times New Roman"/>
          <w:sz w:val="26"/>
          <w:szCs w:val="26"/>
          <w:lang w:val="uk-UA"/>
        </w:rPr>
        <w:t xml:space="preserve"> заходів за рахунок коштів, які спрямовані на культурні, соціальні, освітні цілі та передбачені п. 1.9. цього Порядку</w:t>
      </w:r>
      <w:r w:rsidR="002759DE" w:rsidRPr="008F5AC8">
        <w:rPr>
          <w:rFonts w:ascii="Times New Roman" w:hAnsi="Times New Roman" w:cs="Times New Roman"/>
          <w:sz w:val="26"/>
          <w:szCs w:val="26"/>
          <w:lang w:val="uk-UA"/>
        </w:rPr>
        <w:t>.</w:t>
      </w:r>
      <w:r w:rsidRPr="008F5AC8">
        <w:rPr>
          <w:rFonts w:ascii="Times New Roman" w:hAnsi="Times New Roman" w:cs="Times New Roman"/>
          <w:sz w:val="26"/>
          <w:szCs w:val="26"/>
          <w:lang w:val="uk-UA"/>
        </w:rPr>
        <w:t xml:space="preserve"> Використання цих коштів здійснюється виконавчою дирекцією Асоціації в порядку виконання Стратегічного плану роботи на відповідний рік.</w:t>
      </w:r>
    </w:p>
    <w:p w:rsidR="002759DE" w:rsidRPr="008F5AC8" w:rsidRDefault="002759DE" w:rsidP="008F5AC8">
      <w:pPr>
        <w:pStyle w:val="a7"/>
        <w:numPr>
          <w:ilvl w:val="1"/>
          <w:numId w:val="1"/>
        </w:numPr>
        <w:spacing w:line="264" w:lineRule="auto"/>
        <w:jc w:val="both"/>
        <w:rPr>
          <w:rFonts w:ascii="Times New Roman" w:hAnsi="Times New Roman" w:cs="Times New Roman"/>
          <w:sz w:val="26"/>
          <w:szCs w:val="26"/>
          <w:lang w:val="uk-UA"/>
        </w:rPr>
      </w:pPr>
      <w:r w:rsidRPr="008F5AC8">
        <w:rPr>
          <w:rFonts w:ascii="Times New Roman" w:hAnsi="Times New Roman" w:cs="Times New Roman"/>
          <w:sz w:val="26"/>
          <w:szCs w:val="26"/>
          <w:lang w:val="uk-UA"/>
        </w:rPr>
        <w:lastRenderedPageBreak/>
        <w:t>У</w:t>
      </w:r>
      <w:r w:rsidR="00316BD9" w:rsidRPr="008F5AC8">
        <w:rPr>
          <w:rFonts w:ascii="Times New Roman" w:hAnsi="Times New Roman" w:cs="Times New Roman"/>
          <w:sz w:val="26"/>
          <w:szCs w:val="26"/>
          <w:lang w:val="uk-UA"/>
        </w:rPr>
        <w:t xml:space="preserve"> </w:t>
      </w:r>
      <w:r w:rsidRPr="008F5AC8">
        <w:rPr>
          <w:rFonts w:ascii="Times New Roman" w:hAnsi="Times New Roman" w:cs="Times New Roman"/>
          <w:sz w:val="26"/>
          <w:szCs w:val="26"/>
          <w:lang w:val="uk-UA"/>
        </w:rPr>
        <w:t>разі наявності залишку коштів, передбачених п.1.</w:t>
      </w:r>
      <w:r w:rsidR="008F5AC8" w:rsidRPr="008F5AC8">
        <w:rPr>
          <w:rFonts w:ascii="Times New Roman" w:hAnsi="Times New Roman" w:cs="Times New Roman"/>
          <w:sz w:val="26"/>
          <w:szCs w:val="26"/>
          <w:lang w:val="uk-UA"/>
        </w:rPr>
        <w:t>9</w:t>
      </w:r>
      <w:r w:rsidRPr="008F5AC8">
        <w:rPr>
          <w:rFonts w:ascii="Times New Roman" w:hAnsi="Times New Roman" w:cs="Times New Roman"/>
          <w:sz w:val="26"/>
          <w:szCs w:val="26"/>
          <w:lang w:val="uk-UA"/>
        </w:rPr>
        <w:t xml:space="preserve">. цього Порядку, що були спрямовані у відповідні спеціальні фонди </w:t>
      </w:r>
      <w:r w:rsidR="00316BD9" w:rsidRPr="008F5AC8">
        <w:rPr>
          <w:rFonts w:ascii="Times New Roman" w:hAnsi="Times New Roman" w:cs="Times New Roman"/>
          <w:sz w:val="26"/>
          <w:szCs w:val="26"/>
          <w:lang w:val="uk-UA"/>
        </w:rPr>
        <w:t>Асоціації</w:t>
      </w:r>
      <w:r w:rsidRPr="008F5AC8">
        <w:rPr>
          <w:rFonts w:ascii="Times New Roman" w:hAnsi="Times New Roman" w:cs="Times New Roman"/>
          <w:sz w:val="26"/>
          <w:szCs w:val="26"/>
          <w:lang w:val="uk-UA"/>
        </w:rPr>
        <w:t>, але не використані на кінець року, такі кошти можуть бути використані протягом наступних періодів.</w:t>
      </w:r>
    </w:p>
    <w:p w:rsidR="008F5AC8" w:rsidRPr="008F5AC8" w:rsidRDefault="008F5AC8" w:rsidP="008F5AC8">
      <w:pPr>
        <w:pStyle w:val="a7"/>
        <w:numPr>
          <w:ilvl w:val="1"/>
          <w:numId w:val="1"/>
        </w:numPr>
        <w:spacing w:line="264" w:lineRule="auto"/>
        <w:jc w:val="both"/>
        <w:rPr>
          <w:rFonts w:ascii="Times New Roman" w:hAnsi="Times New Roman" w:cs="Times New Roman"/>
          <w:sz w:val="26"/>
          <w:szCs w:val="26"/>
          <w:lang w:val="uk-UA"/>
        </w:rPr>
      </w:pPr>
      <w:r w:rsidRPr="008F5AC8">
        <w:rPr>
          <w:rFonts w:ascii="Times New Roman" w:hAnsi="Times New Roman" w:cs="Times New Roman"/>
          <w:sz w:val="26"/>
          <w:szCs w:val="26"/>
          <w:lang w:val="uk-UA"/>
        </w:rPr>
        <w:t xml:space="preserve">Даний Порядок є невід’ємною частиною </w:t>
      </w:r>
      <w:r w:rsidRPr="008F5AC8">
        <w:rPr>
          <w:rFonts w:ascii="Times New Roman" w:hAnsi="Times New Roman" w:cs="Times New Roman"/>
          <w:color w:val="000000"/>
          <w:spacing w:val="-3"/>
          <w:sz w:val="26"/>
          <w:szCs w:val="26"/>
          <w:lang w:val="uk-UA"/>
        </w:rPr>
        <w:t>Правил для встановлення тарифів і розподілу винагороди (роялті), затверджених Генеральною Асамблеєю Асоціації 01 лютого 2013 року (із змінами та доповненнями), які застосовуються в межах, що йому не суперечать.</w:t>
      </w:r>
    </w:p>
    <w:p w:rsidR="008F5AC8" w:rsidRPr="008F5AC8" w:rsidRDefault="008F5AC8" w:rsidP="008F5AC8">
      <w:pPr>
        <w:pStyle w:val="a7"/>
        <w:spacing w:line="264" w:lineRule="auto"/>
        <w:ind w:left="1008"/>
        <w:jc w:val="both"/>
        <w:rPr>
          <w:rFonts w:ascii="Times New Roman" w:hAnsi="Times New Roman" w:cs="Times New Roman"/>
          <w:sz w:val="26"/>
          <w:szCs w:val="26"/>
          <w:lang w:val="uk-UA"/>
        </w:rPr>
      </w:pPr>
    </w:p>
    <w:p w:rsidR="00D97C92" w:rsidRPr="008F5AC8" w:rsidRDefault="00D97C92" w:rsidP="008F5AC8">
      <w:pPr>
        <w:tabs>
          <w:tab w:val="left" w:pos="3495"/>
        </w:tabs>
        <w:spacing w:line="264" w:lineRule="auto"/>
        <w:jc w:val="both"/>
        <w:rPr>
          <w:rFonts w:ascii="Times New Roman" w:hAnsi="Times New Roman" w:cs="Times New Roman"/>
          <w:sz w:val="26"/>
          <w:szCs w:val="26"/>
          <w:lang w:val="uk-UA"/>
        </w:rPr>
      </w:pPr>
      <w:bookmarkStart w:id="0" w:name="_GoBack"/>
      <w:bookmarkEnd w:id="0"/>
    </w:p>
    <w:sectPr w:rsidR="00D97C92" w:rsidRPr="008F5AC8">
      <w:footerReference w:type="default" r:id="rId7"/>
      <w:pgSz w:w="12240" w:h="15840"/>
      <w:pgMar w:top="878" w:right="910" w:bottom="512" w:left="101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709" w:rsidRDefault="000F5709" w:rsidP="00EB3B89">
      <w:r>
        <w:separator/>
      </w:r>
    </w:p>
  </w:endnote>
  <w:endnote w:type="continuationSeparator" w:id="0">
    <w:p w:rsidR="000F5709" w:rsidRDefault="000F5709" w:rsidP="00EB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swiss"/>
    <w:panose1 w:val="02020603050405020304"/>
  </w:font>
  <w:font w:name="Tahoma">
    <w:charset w:val="CC"/>
    <w:pitch w:val="variable"/>
    <w:family w:val="swiss"/>
    <w:panose1 w:val="02020603050405020304"/>
  </w:font>
  <w:font w:name="Arial">
    <w:charset w:val="CC"/>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633727"/>
      <w:docPartObj>
        <w:docPartGallery w:val="Page Numbers (Bottom of Page)"/>
        <w:docPartUnique/>
      </w:docPartObj>
    </w:sdtPr>
    <w:sdtEndPr/>
    <w:sdtContent>
      <w:p w:rsidR="00EB3B89" w:rsidRDefault="00EB3B89">
        <w:pPr>
          <w:pStyle w:val="a5"/>
          <w:jc w:val="right"/>
        </w:pPr>
        <w:r>
          <w:fldChar w:fldCharType="begin"/>
        </w:r>
        <w:r>
          <w:instrText>PAGE   \* MERGEFORMAT</w:instrText>
        </w:r>
        <w:r>
          <w:fldChar w:fldCharType="separate"/>
        </w:r>
        <w:r w:rsidR="006C109C" w:rsidRPr="006C109C">
          <w:rPr>
            <w:noProof/>
            <w:lang w:val="ru-RU"/>
          </w:rPr>
          <w:t>1</w:t>
        </w:r>
        <w:r>
          <w:fldChar w:fldCharType="end"/>
        </w:r>
      </w:p>
    </w:sdtContent>
  </w:sdt>
  <w:p w:rsidR="00EB3B89" w:rsidRDefault="00EB3B8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709" w:rsidRDefault="000F5709" w:rsidP="00EB3B89">
      <w:r>
        <w:separator/>
      </w:r>
    </w:p>
  </w:footnote>
  <w:footnote w:type="continuationSeparator" w:id="0">
    <w:p w:rsidR="000F5709" w:rsidRDefault="000F5709" w:rsidP="00EB3B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70A97"/>
    <w:multiLevelType w:val="multilevel"/>
    <w:tmpl w:val="62025A3E"/>
    <w:lvl w:ilvl="0">
      <w:start w:val="1"/>
      <w:numFmt w:val="decimal"/>
      <w:lvlText w:val="%1."/>
      <w:lvlJc w:val="left"/>
      <w:pPr>
        <w:ind w:left="480" w:hanging="480"/>
      </w:pPr>
      <w:rPr>
        <w:rFonts w:hint="default"/>
      </w:rPr>
    </w:lvl>
    <w:lvl w:ilvl="1">
      <w:start w:val="1"/>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1" w15:restartNumberingAfterBreak="0">
    <w:nsid w:val="337959F0"/>
    <w:multiLevelType w:val="hybridMultilevel"/>
    <w:tmpl w:val="44222E10"/>
    <w:lvl w:ilvl="0" w:tplc="22B85304">
      <w:start w:val="1"/>
      <w:numFmt w:val="decimal"/>
      <w:lvlText w:val="%1)"/>
      <w:lvlJc w:val="left"/>
      <w:pPr>
        <w:ind w:left="1368" w:hanging="360"/>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92"/>
    <w:rsid w:val="000541A1"/>
    <w:rsid w:val="00085967"/>
    <w:rsid w:val="000F5709"/>
    <w:rsid w:val="001F3EE8"/>
    <w:rsid w:val="002759DE"/>
    <w:rsid w:val="002C5AAA"/>
    <w:rsid w:val="00316BD9"/>
    <w:rsid w:val="00367AAD"/>
    <w:rsid w:val="003865B1"/>
    <w:rsid w:val="00496EBE"/>
    <w:rsid w:val="00553C2E"/>
    <w:rsid w:val="00565F13"/>
    <w:rsid w:val="00587665"/>
    <w:rsid w:val="006C109C"/>
    <w:rsid w:val="007100B0"/>
    <w:rsid w:val="007969AF"/>
    <w:rsid w:val="008A3070"/>
    <w:rsid w:val="008F5AC8"/>
    <w:rsid w:val="00A52289"/>
    <w:rsid w:val="00A52A50"/>
    <w:rsid w:val="00A839CD"/>
    <w:rsid w:val="00A848F3"/>
    <w:rsid w:val="00B34440"/>
    <w:rsid w:val="00CA6523"/>
    <w:rsid w:val="00CC297D"/>
    <w:rsid w:val="00D84D67"/>
    <w:rsid w:val="00D97C92"/>
    <w:rsid w:val="00DB5151"/>
    <w:rsid w:val="00E14C4A"/>
    <w:rsid w:val="00E92FB0"/>
    <w:rsid w:val="00EB3B89"/>
    <w:rsid w:val="00EE00F2"/>
    <w:rsid w:val="00EE4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1795B-0956-4DB6-8A14-637C8D6B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B89"/>
    <w:pPr>
      <w:tabs>
        <w:tab w:val="center" w:pos="4677"/>
        <w:tab w:val="right" w:pos="9355"/>
      </w:tabs>
    </w:pPr>
  </w:style>
  <w:style w:type="character" w:customStyle="1" w:styleId="a4">
    <w:name w:val="Верхний колонтитул Знак"/>
    <w:basedOn w:val="a0"/>
    <w:link w:val="a3"/>
    <w:uiPriority w:val="99"/>
    <w:rsid w:val="00EB3B89"/>
  </w:style>
  <w:style w:type="paragraph" w:styleId="a5">
    <w:name w:val="footer"/>
    <w:basedOn w:val="a"/>
    <w:link w:val="a6"/>
    <w:uiPriority w:val="99"/>
    <w:unhideWhenUsed/>
    <w:rsid w:val="00EB3B89"/>
    <w:pPr>
      <w:tabs>
        <w:tab w:val="center" w:pos="4677"/>
        <w:tab w:val="right" w:pos="9355"/>
      </w:tabs>
    </w:pPr>
  </w:style>
  <w:style w:type="character" w:customStyle="1" w:styleId="a6">
    <w:name w:val="Нижний колонтитул Знак"/>
    <w:basedOn w:val="a0"/>
    <w:link w:val="a5"/>
    <w:uiPriority w:val="99"/>
    <w:rsid w:val="00EB3B89"/>
  </w:style>
  <w:style w:type="paragraph" w:styleId="a7">
    <w:name w:val="List Paragraph"/>
    <w:basedOn w:val="a"/>
    <w:uiPriority w:val="34"/>
    <w:qFormat/>
    <w:rsid w:val="00367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MARINE</dc:creator>
  <cp:lastModifiedBy>ARMA</cp:lastModifiedBy>
  <cp:revision>2</cp:revision>
  <dcterms:created xsi:type="dcterms:W3CDTF">2020-08-03T10:24:00Z</dcterms:created>
  <dcterms:modified xsi:type="dcterms:W3CDTF">2020-08-03T10:24:00Z</dcterms:modified>
</cp:coreProperties>
</file>